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4F" w:rsidRDefault="00FB7C06">
      <w:pPr>
        <w:spacing w:before="240" w:after="240" w:line="240" w:lineRule="auto"/>
        <w:rPr>
          <w:rFonts w:ascii="Trebuchet MS" w:eastAsia="Trebuchet MS" w:hAnsi="Trebuchet MS" w:cs="Trebuchet MS"/>
          <w:highlight w:val="yellow"/>
        </w:rPr>
      </w:pPr>
      <w:r>
        <w:rPr>
          <w:rFonts w:ascii="Trebuchet MS" w:hAnsi="Trebuchet MS"/>
          <w:sz w:val="24"/>
        </w:rPr>
        <w:t xml:space="preserve">ALERTA DE SANIDAD | Aumento en el número de infecciones de salmonella y enfermedades diarreicas en </w:t>
      </w:r>
      <w:r>
        <w:rPr>
          <w:rFonts w:ascii="Trebuchet MS" w:hAnsi="Trebuchet MS"/>
          <w:i/>
          <w:iCs/>
          <w:sz w:val="24"/>
        </w:rPr>
        <w:t>Mountain County</w:t>
      </w:r>
      <w:r>
        <w:rPr>
          <w:rFonts w:ascii="Trebuchet MS" w:hAnsi="Trebuchet MS"/>
          <w:sz w:val="24"/>
        </w:rPr>
        <w:t xml:space="preserve"> | Agosto</w:t>
      </w:r>
      <w:r w:rsidR="00E94BAD">
        <w:rPr>
          <w:rFonts w:ascii="Trebuchet MS" w:hAnsi="Trebuchet MS"/>
          <w:sz w:val="24"/>
        </w:rPr>
        <w:t xml:space="preserve"> de</w:t>
      </w:r>
      <w:r>
        <w:rPr>
          <w:rFonts w:ascii="Trebuchet MS" w:hAnsi="Trebuchet MS"/>
          <w:sz w:val="24"/>
        </w:rPr>
        <w:t xml:space="preserve"> 2020</w:t>
      </w:r>
    </w:p>
    <w:tbl>
      <w:tblPr>
        <w:tblStyle w:val="a"/>
        <w:tblW w:w="9360" w:type="dxa"/>
        <w:tblLayout w:type="fixed"/>
        <w:tblLook w:val="0600" w:firstRow="0" w:lastRow="0" w:firstColumn="0" w:lastColumn="0" w:noHBand="1" w:noVBand="1"/>
      </w:tblPr>
      <w:tblGrid>
        <w:gridCol w:w="9360"/>
      </w:tblGrid>
      <w:tr w:rsidR="00BB084F">
        <w:tc>
          <w:tcPr>
            <w:tcW w:w="9360" w:type="dxa"/>
            <w:shd w:val="clear" w:color="auto" w:fill="auto"/>
            <w:tcMar>
              <w:top w:w="0" w:type="dxa"/>
              <w:left w:w="0" w:type="dxa"/>
              <w:bottom w:w="0" w:type="dxa"/>
              <w:right w:w="0" w:type="dxa"/>
            </w:tcMar>
          </w:tcPr>
          <w:p w:rsidR="00BB084F" w:rsidRDefault="00FB7C06">
            <w:pPr>
              <w:spacing w:before="240" w:after="240" w:line="240" w:lineRule="auto"/>
              <w:rPr>
                <w:rFonts w:ascii="Trebuchet MS" w:eastAsia="Trebuchet MS" w:hAnsi="Trebuchet MS" w:cs="Trebuchet MS"/>
              </w:rPr>
            </w:pPr>
            <w:r>
              <w:rPr>
                <w:rFonts w:ascii="Trebuchet MS" w:hAnsi="Trebuchet MS"/>
              </w:rPr>
              <w:t>Proveedores de atención médica.  Distribúyalo ampliamente entre sus compañeros de oficina</w:t>
            </w:r>
          </w:p>
          <w:p w:rsidR="00BB084F" w:rsidRDefault="00FB7C06">
            <w:pPr>
              <w:spacing w:before="240" w:after="240" w:line="240" w:lineRule="auto"/>
              <w:rPr>
                <w:rFonts w:ascii="Trebuchet MS" w:eastAsia="Trebuchet MS" w:hAnsi="Trebuchet MS" w:cs="Trebuchet MS"/>
                <w:b/>
                <w:sz w:val="20"/>
                <w:szCs w:val="20"/>
              </w:rPr>
            </w:pPr>
            <w:r>
              <w:rPr>
                <w:rFonts w:ascii="Trebuchet MS" w:hAnsi="Trebuchet MS"/>
                <w:b/>
                <w:sz w:val="18"/>
              </w:rPr>
              <w:t>Esta información es para la comunidad de salud pública y de atención sanitaria. No publique este documento en sitios web de acceso público o en las redes sociales.</w:t>
            </w:r>
          </w:p>
          <w:p w:rsidR="00BB084F" w:rsidRDefault="00FB7C06">
            <w:pPr>
              <w:spacing w:before="240" w:after="240" w:line="240" w:lineRule="auto"/>
              <w:jc w:val="both"/>
              <w:rPr>
                <w:rFonts w:ascii="Trebuchet MS" w:eastAsia="Trebuchet MS" w:hAnsi="Trebuchet MS" w:cs="Trebuchet MS"/>
                <w:b/>
                <w:sz w:val="20"/>
                <w:szCs w:val="20"/>
              </w:rPr>
            </w:pPr>
            <w:r>
              <w:rPr>
                <w:rFonts w:ascii="Trebuchet MS" w:hAnsi="Trebuchet MS"/>
                <w:b/>
                <w:sz w:val="20"/>
              </w:rPr>
              <w:t>Información de referencia</w:t>
            </w:r>
          </w:p>
          <w:p w:rsidR="00BB084F" w:rsidRDefault="00FB7C06">
            <w:pPr>
              <w:spacing w:before="240" w:after="240" w:line="240" w:lineRule="auto"/>
              <w:jc w:val="both"/>
              <w:rPr>
                <w:rFonts w:ascii="Trebuchet MS" w:eastAsia="Trebuchet MS" w:hAnsi="Trebuchet MS" w:cs="Trebuchet MS"/>
                <w:sz w:val="20"/>
                <w:szCs w:val="20"/>
              </w:rPr>
            </w:pPr>
            <w:r>
              <w:rPr>
                <w:rFonts w:ascii="Trebuchet MS" w:hAnsi="Trebuchet MS"/>
                <w:sz w:val="20"/>
              </w:rPr>
              <w:t xml:space="preserve">El organismo de Salud Pública de </w:t>
            </w:r>
            <w:r>
              <w:rPr>
                <w:rFonts w:ascii="Trebuchet MS" w:hAnsi="Trebuchet MS"/>
                <w:i/>
                <w:iCs/>
                <w:sz w:val="20"/>
              </w:rPr>
              <w:t>Mountain County</w:t>
            </w:r>
            <w:r>
              <w:rPr>
                <w:rFonts w:ascii="Trebuchet MS" w:hAnsi="Trebuchet MS"/>
                <w:sz w:val="20"/>
              </w:rPr>
              <w:t xml:space="preserve"> ha observado un aumento en el número de presuntos casos de infección por </w:t>
            </w:r>
            <w:r>
              <w:rPr>
                <w:rFonts w:ascii="Trebuchet MS" w:hAnsi="Trebuchet MS"/>
                <w:i/>
                <w:iCs/>
                <w:sz w:val="20"/>
              </w:rPr>
              <w:t>Salmonella</w:t>
            </w:r>
            <w:r w:rsidR="00EB16FE">
              <w:rPr>
                <w:rFonts w:ascii="Trebuchet MS" w:hAnsi="Trebuchet MS"/>
                <w:sz w:val="20"/>
              </w:rPr>
              <w:t xml:space="preserve"> durante la semana pasada. </w:t>
            </w:r>
            <w:r>
              <w:rPr>
                <w:rFonts w:ascii="Trebuchet MS" w:hAnsi="Trebuchet MS"/>
                <w:sz w:val="20"/>
              </w:rPr>
              <w:t>Se reportaron tres casos en la s</w:t>
            </w:r>
            <w:r w:rsidR="00EB16FE">
              <w:rPr>
                <w:rFonts w:ascii="Trebuchet MS" w:hAnsi="Trebuchet MS"/>
                <w:sz w:val="20"/>
              </w:rPr>
              <w:t xml:space="preserve">emana del 9 de agosto de 2020. </w:t>
            </w:r>
            <w:r>
              <w:rPr>
                <w:rFonts w:ascii="Trebuchet MS" w:hAnsi="Trebuchet MS"/>
                <w:sz w:val="20"/>
              </w:rPr>
              <w:t xml:space="preserve">Desde 2010 hasta 2019, </w:t>
            </w:r>
            <w:r>
              <w:rPr>
                <w:rFonts w:ascii="Trebuchet MS" w:hAnsi="Trebuchet MS"/>
                <w:i/>
                <w:iCs/>
                <w:sz w:val="20"/>
              </w:rPr>
              <w:t>Mountain County</w:t>
            </w:r>
            <w:r>
              <w:rPr>
                <w:rFonts w:ascii="Trebuchet MS" w:hAnsi="Trebuchet MS"/>
                <w:sz w:val="20"/>
              </w:rPr>
              <w:t xml:space="preserve"> tuvo un promedio de menos de un caso reportado de salmonella durante todo el mes de ago</w:t>
            </w:r>
            <w:r w:rsidR="00EB16FE">
              <w:rPr>
                <w:rFonts w:ascii="Trebuchet MS" w:hAnsi="Trebuchet MS"/>
                <w:sz w:val="20"/>
              </w:rPr>
              <w:t xml:space="preserve">sto. </w:t>
            </w:r>
            <w:r>
              <w:rPr>
                <w:rFonts w:ascii="Trebuchet MS" w:hAnsi="Trebuchet MS"/>
                <w:sz w:val="20"/>
              </w:rPr>
              <w:t>Por otro lado, varios proveedores de atención médica en el condado han estado reportando un aumento en el número de pacientes que presentan síntomas gastrointesti</w:t>
            </w:r>
            <w:r w:rsidR="00FD6618">
              <w:rPr>
                <w:rFonts w:ascii="Trebuchet MS" w:hAnsi="Trebuchet MS"/>
                <w:sz w:val="20"/>
              </w:rPr>
              <w:t xml:space="preserve">nales, como diarrea y vómitos. </w:t>
            </w:r>
            <w:r>
              <w:rPr>
                <w:rFonts w:ascii="Trebuchet MS" w:hAnsi="Trebuchet MS"/>
                <w:sz w:val="20"/>
              </w:rPr>
              <w:t xml:space="preserve">En lo que respecta a los tres casos notificados, el laboratorio estatal de salud pública llevará a cabo el serotipado y la secuenciación del genoma completo (huella de ADN) a los efectos de confirmar el diagnóstico y determinar si los tres casos podrían estar vinculados entre sí. </w:t>
            </w:r>
          </w:p>
          <w:p w:rsidR="00BB084F" w:rsidRDefault="00FB7C06">
            <w:pPr>
              <w:spacing w:before="240" w:after="240" w:line="240" w:lineRule="auto"/>
              <w:jc w:val="both"/>
              <w:rPr>
                <w:rFonts w:ascii="Trebuchet MS" w:eastAsia="Trebuchet MS" w:hAnsi="Trebuchet MS" w:cs="Trebuchet MS"/>
                <w:sz w:val="20"/>
                <w:szCs w:val="20"/>
              </w:rPr>
            </w:pPr>
            <w:r>
              <w:rPr>
                <w:rFonts w:ascii="Trebuchet MS" w:hAnsi="Trebuchet MS"/>
                <w:sz w:val="20"/>
              </w:rPr>
              <w:t xml:space="preserve">El organismo de Salud Pública de </w:t>
            </w:r>
            <w:r>
              <w:rPr>
                <w:rFonts w:ascii="Trebuchet MS" w:hAnsi="Trebuchet MS"/>
                <w:i/>
                <w:iCs/>
                <w:sz w:val="20"/>
              </w:rPr>
              <w:t>Mountain County</w:t>
            </w:r>
            <w:r>
              <w:rPr>
                <w:rFonts w:ascii="Trebuchet MS" w:hAnsi="Trebuchet MS"/>
                <w:sz w:val="20"/>
              </w:rPr>
              <w:t xml:space="preserve"> está colaborando con el Departamento de Salud Pública Estatal para entrevistar a los casos afectadas y determinar qué exposiciones comunes, incluyendo alimentos, contacto con animales, aguas recreativas, etc.  En este momento, no se ha descartado ninguna exposición potencial. </w:t>
            </w:r>
          </w:p>
          <w:p w:rsidR="00BB084F" w:rsidRDefault="00FB7C06">
            <w:pPr>
              <w:spacing w:before="240" w:after="240" w:line="240" w:lineRule="auto"/>
              <w:jc w:val="both"/>
              <w:rPr>
                <w:rFonts w:ascii="Trebuchet MS" w:eastAsia="Trebuchet MS" w:hAnsi="Trebuchet MS" w:cs="Trebuchet MS"/>
                <w:b/>
                <w:sz w:val="20"/>
                <w:szCs w:val="20"/>
              </w:rPr>
            </w:pPr>
            <w:r>
              <w:rPr>
                <w:rFonts w:ascii="Trebuchet MS" w:hAnsi="Trebuchet MS"/>
                <w:b/>
                <w:sz w:val="20"/>
              </w:rPr>
              <w:t xml:space="preserve">Al día de hoy, estas son las recomendaciones del organismo de Salud Pública de </w:t>
            </w:r>
            <w:r>
              <w:rPr>
                <w:rFonts w:ascii="Trebuchet MS" w:hAnsi="Trebuchet MS"/>
                <w:b/>
                <w:i/>
                <w:iCs/>
                <w:sz w:val="20"/>
              </w:rPr>
              <w:t>Mountain County</w:t>
            </w:r>
            <w:r>
              <w:rPr>
                <w:rFonts w:ascii="Trebuchet MS" w:hAnsi="Trebuchet MS"/>
                <w:b/>
                <w:sz w:val="20"/>
              </w:rPr>
              <w:t xml:space="preserve">: </w:t>
            </w:r>
          </w:p>
          <w:p w:rsidR="00BB084F" w:rsidRDefault="00FB7C06">
            <w:pPr>
              <w:spacing w:before="240" w:after="240" w:line="240" w:lineRule="auto"/>
              <w:jc w:val="both"/>
              <w:rPr>
                <w:rFonts w:ascii="Trebuchet MS" w:eastAsia="Trebuchet MS" w:hAnsi="Trebuchet MS" w:cs="Trebuchet MS"/>
                <w:b/>
                <w:sz w:val="20"/>
                <w:szCs w:val="20"/>
              </w:rPr>
            </w:pPr>
            <w:r>
              <w:rPr>
                <w:rFonts w:ascii="Trebuchet MS" w:hAnsi="Trebuchet MS"/>
                <w:b/>
                <w:sz w:val="20"/>
              </w:rPr>
              <w:t>Para los profesionales de la salud:</w:t>
            </w:r>
          </w:p>
          <w:p w:rsidR="00BB084F" w:rsidRDefault="00FB7C06">
            <w:pPr>
              <w:numPr>
                <w:ilvl w:val="0"/>
                <w:numId w:val="4"/>
              </w:numPr>
              <w:spacing w:line="240" w:lineRule="auto"/>
              <w:jc w:val="both"/>
              <w:rPr>
                <w:rFonts w:ascii="Trebuchet MS" w:eastAsia="Trebuchet MS" w:hAnsi="Trebuchet MS" w:cs="Trebuchet MS"/>
                <w:sz w:val="20"/>
                <w:szCs w:val="20"/>
              </w:rPr>
            </w:pPr>
            <w:r>
              <w:rPr>
                <w:rFonts w:ascii="Trebuchet MS" w:hAnsi="Trebuchet MS"/>
                <w:sz w:val="20"/>
              </w:rPr>
              <w:t>Considere la posibilidad de obtener muestras de materia fecal por parte de los pacientes con una diarrea que dure más de dos días, individuos con diarrea sanguinolenta o con diarrea acompañada de fiebre, calambres/dolores abdominales graves u otro</w:t>
            </w:r>
            <w:r w:rsidR="00FD6618">
              <w:rPr>
                <w:rFonts w:ascii="Trebuchet MS" w:hAnsi="Trebuchet MS"/>
                <w:sz w:val="20"/>
              </w:rPr>
              <w:t xml:space="preserve">s síntomas gastrointestinales. </w:t>
            </w:r>
            <w:r>
              <w:rPr>
                <w:rFonts w:ascii="Trebuchet MS" w:hAnsi="Trebuchet MS"/>
                <w:sz w:val="20"/>
              </w:rPr>
              <w:t xml:space="preserve">Las muestras de materia fecal deberán cultivarse para buscar Salmonella y otros patógenos bacterianos comunes (como </w:t>
            </w:r>
            <w:proofErr w:type="spellStart"/>
            <w:r>
              <w:rPr>
                <w:rFonts w:ascii="Trebuchet MS" w:hAnsi="Trebuchet MS"/>
                <w:sz w:val="20"/>
              </w:rPr>
              <w:t>Campylobacter</w:t>
            </w:r>
            <w:proofErr w:type="spellEnd"/>
            <w:r>
              <w:rPr>
                <w:rFonts w:ascii="Trebuchet MS" w:hAnsi="Trebuchet MS"/>
                <w:sz w:val="20"/>
              </w:rPr>
              <w:t xml:space="preserve"> y </w:t>
            </w:r>
            <w:proofErr w:type="spellStart"/>
            <w:r>
              <w:rPr>
                <w:rFonts w:ascii="Trebuchet MS" w:hAnsi="Trebuchet MS"/>
                <w:sz w:val="20"/>
              </w:rPr>
              <w:t>Shigella</w:t>
            </w:r>
            <w:proofErr w:type="spellEnd"/>
            <w:r>
              <w:rPr>
                <w:rFonts w:ascii="Trebuchet MS" w:hAnsi="Trebuchet MS"/>
                <w:sz w:val="20"/>
              </w:rPr>
              <w:t xml:space="preserve">). </w:t>
            </w:r>
          </w:p>
          <w:p w:rsidR="00BB084F" w:rsidRDefault="00FB7C06">
            <w:pPr>
              <w:numPr>
                <w:ilvl w:val="0"/>
                <w:numId w:val="4"/>
              </w:numPr>
              <w:spacing w:line="240" w:lineRule="auto"/>
              <w:jc w:val="both"/>
              <w:rPr>
                <w:rFonts w:ascii="Trebuchet MS" w:eastAsia="Trebuchet MS" w:hAnsi="Trebuchet MS" w:cs="Trebuchet MS"/>
                <w:sz w:val="20"/>
                <w:szCs w:val="20"/>
              </w:rPr>
            </w:pPr>
            <w:r>
              <w:rPr>
                <w:rFonts w:ascii="Trebuchet MS" w:hAnsi="Trebuchet MS"/>
                <w:sz w:val="20"/>
              </w:rPr>
              <w:t xml:space="preserve">Notifique los presuntos casos de infección por Salmonella al organismo de Salud Pública de </w:t>
            </w:r>
            <w:r>
              <w:rPr>
                <w:rFonts w:ascii="Trebuchet MS" w:hAnsi="Trebuchet MS"/>
                <w:i/>
                <w:iCs/>
                <w:sz w:val="20"/>
              </w:rPr>
              <w:t>Mountain County:</w:t>
            </w:r>
            <w:r>
              <w:rPr>
                <w:rFonts w:ascii="Trebuchet MS" w:hAnsi="Trebuchet MS"/>
                <w:sz w:val="20"/>
              </w:rPr>
              <w:t xml:space="preserve"> </w:t>
            </w:r>
            <w:r>
              <w:rPr>
                <w:rFonts w:ascii="Trebuchet MS" w:hAnsi="Trebuchet MS"/>
                <w:b/>
                <w:sz w:val="20"/>
              </w:rPr>
              <w:t>[Inserte el número de teléfono]</w:t>
            </w:r>
          </w:p>
          <w:p w:rsidR="00BB084F" w:rsidRDefault="00FB7C06">
            <w:pPr>
              <w:numPr>
                <w:ilvl w:val="0"/>
                <w:numId w:val="4"/>
              </w:numPr>
              <w:spacing w:after="240" w:line="240" w:lineRule="auto"/>
              <w:jc w:val="both"/>
              <w:rPr>
                <w:rFonts w:ascii="Trebuchet MS" w:eastAsia="Trebuchet MS" w:hAnsi="Trebuchet MS" w:cs="Trebuchet MS"/>
                <w:sz w:val="20"/>
                <w:szCs w:val="20"/>
              </w:rPr>
            </w:pPr>
            <w:r>
              <w:rPr>
                <w:rFonts w:ascii="Trebuchet MS" w:hAnsi="Trebuchet MS"/>
                <w:sz w:val="20"/>
              </w:rPr>
              <w:t>Los niños no deberán acudir a la guar</w:t>
            </w:r>
            <w:r w:rsidR="00FD6618">
              <w:rPr>
                <w:rFonts w:ascii="Trebuchet MS" w:hAnsi="Trebuchet MS"/>
                <w:sz w:val="20"/>
              </w:rPr>
              <w:t xml:space="preserve">dería mientras tengan diarrea. </w:t>
            </w:r>
            <w:r>
              <w:rPr>
                <w:rFonts w:ascii="Trebuchet MS" w:hAnsi="Trebuchet MS"/>
                <w:sz w:val="20"/>
              </w:rPr>
              <w:t xml:space="preserve">Las personas que trabajan en ocupaciones con alto riesgo de transmisión (por ejemplo, los manipuladores de alimentos) no deben trabajar mientras tengan diarrea. </w:t>
            </w:r>
          </w:p>
          <w:p w:rsidR="00BB084F" w:rsidRDefault="00FB7C06">
            <w:pPr>
              <w:spacing w:before="240" w:after="240" w:line="240" w:lineRule="auto"/>
              <w:jc w:val="both"/>
              <w:rPr>
                <w:rFonts w:ascii="Trebuchet MS" w:eastAsia="Trebuchet MS" w:hAnsi="Trebuchet MS" w:cs="Trebuchet MS"/>
                <w:b/>
                <w:sz w:val="20"/>
                <w:szCs w:val="20"/>
              </w:rPr>
            </w:pPr>
            <w:r>
              <w:rPr>
                <w:rFonts w:ascii="Trebuchet MS" w:hAnsi="Trebuchet MS"/>
                <w:b/>
                <w:sz w:val="20"/>
              </w:rPr>
              <w:t>Para laboratorios de microbiología clínica:</w:t>
            </w:r>
          </w:p>
          <w:p w:rsidR="00BB084F" w:rsidRDefault="00FB7C06">
            <w:pPr>
              <w:numPr>
                <w:ilvl w:val="0"/>
                <w:numId w:val="3"/>
              </w:numPr>
              <w:spacing w:line="240" w:lineRule="auto"/>
              <w:jc w:val="both"/>
              <w:rPr>
                <w:rFonts w:ascii="Trebuchet MS" w:eastAsia="Trebuchet MS" w:hAnsi="Trebuchet MS" w:cs="Trebuchet MS"/>
                <w:sz w:val="20"/>
                <w:szCs w:val="20"/>
              </w:rPr>
            </w:pPr>
            <w:r>
              <w:rPr>
                <w:rFonts w:ascii="Trebuchet MS" w:hAnsi="Trebuchet MS"/>
                <w:sz w:val="20"/>
              </w:rPr>
              <w:t xml:space="preserve">Envíe los aislamientos que sugieran la presencia de Salmonella lo antes posible al laboratorio estatal de salud pública. </w:t>
            </w:r>
          </w:p>
          <w:p w:rsidR="00BB084F" w:rsidRDefault="00FB7C06">
            <w:pPr>
              <w:numPr>
                <w:ilvl w:val="0"/>
                <w:numId w:val="3"/>
              </w:numPr>
              <w:spacing w:after="240" w:line="240" w:lineRule="auto"/>
              <w:jc w:val="both"/>
              <w:rPr>
                <w:rFonts w:ascii="Trebuchet MS" w:eastAsia="Trebuchet MS" w:hAnsi="Trebuchet MS" w:cs="Trebuchet MS"/>
                <w:sz w:val="20"/>
                <w:szCs w:val="20"/>
              </w:rPr>
            </w:pPr>
            <w:r>
              <w:rPr>
                <w:rFonts w:ascii="Trebuchet MS" w:hAnsi="Trebuchet MS"/>
                <w:sz w:val="20"/>
              </w:rPr>
              <w:t xml:space="preserve">Además de mandar los cultivos aislados, reporte los presuntos casos de Salmonella lo antes posible a la Salud Pública de </w:t>
            </w:r>
            <w:r>
              <w:rPr>
                <w:rFonts w:ascii="Trebuchet MS" w:hAnsi="Trebuchet MS"/>
                <w:i/>
                <w:iCs/>
                <w:sz w:val="20"/>
              </w:rPr>
              <w:t xml:space="preserve">Mountain County </w:t>
            </w:r>
            <w:r>
              <w:rPr>
                <w:rFonts w:ascii="Trebuchet MS" w:hAnsi="Trebuchet MS"/>
                <w:sz w:val="20"/>
              </w:rPr>
              <w:t>[insertar número de teléfono], al Departamento de Salud Estatal [insertar número de teléfono], o directamente al sistema de monitoreo de enfermedades del Estado.</w:t>
            </w:r>
          </w:p>
          <w:p w:rsidR="00BB084F" w:rsidRDefault="00FB7C06">
            <w:pPr>
              <w:spacing w:after="240" w:line="240" w:lineRule="auto"/>
              <w:jc w:val="both"/>
              <w:rPr>
                <w:rFonts w:ascii="Trebuchet MS" w:eastAsia="Trebuchet MS" w:hAnsi="Trebuchet MS" w:cs="Trebuchet MS"/>
                <w:sz w:val="20"/>
                <w:szCs w:val="20"/>
              </w:rPr>
            </w:pPr>
            <w:r>
              <w:rPr>
                <w:rFonts w:ascii="Trebuchet MS" w:hAnsi="Trebuchet MS"/>
                <w:b/>
                <w:sz w:val="20"/>
              </w:rPr>
              <w:t xml:space="preserve">Para informar sobre enfermedades u otras preguntas, comuníquese con el servicio de Salud Pública de </w:t>
            </w:r>
            <w:r>
              <w:rPr>
                <w:rFonts w:ascii="Trebuchet MS" w:hAnsi="Trebuchet MS"/>
                <w:b/>
                <w:i/>
                <w:iCs/>
                <w:sz w:val="20"/>
              </w:rPr>
              <w:t>Mountain County</w:t>
            </w:r>
            <w:r>
              <w:rPr>
                <w:rFonts w:ascii="Trebuchet MS" w:hAnsi="Trebuchet MS"/>
                <w:b/>
                <w:sz w:val="20"/>
              </w:rPr>
              <w:t xml:space="preserve"> en [insertar número de teléfono].</w:t>
            </w:r>
          </w:p>
        </w:tc>
      </w:tr>
    </w:tbl>
    <w:p w:rsidR="00BB084F" w:rsidRDefault="00FD6618">
      <w:pPr>
        <w:spacing w:before="200" w:after="200" w:line="240" w:lineRule="auto"/>
        <w:rPr>
          <w:rFonts w:ascii="Trebuchet MS" w:eastAsia="Trebuchet MS" w:hAnsi="Trebuchet MS" w:cs="Trebuchet MS"/>
          <w:sz w:val="16"/>
          <w:szCs w:val="16"/>
        </w:rPr>
      </w:pPr>
      <w:r>
        <w:rPr>
          <w:rFonts w:ascii="Trebuchet MS" w:eastAsia="Trebuchet MS" w:hAnsi="Trebuchet MS" w:cs="Trebuchet MS"/>
          <w:sz w:val="16"/>
          <w:szCs w:val="16"/>
        </w:rPr>
        <w:lastRenderedPageBreak/>
        <w:t xml:space="preserve">  </w:t>
      </w:r>
    </w:p>
    <w:p w:rsidR="00BB084F" w:rsidRDefault="00FB7C06">
      <w:pPr>
        <w:spacing w:before="200" w:line="240" w:lineRule="auto"/>
        <w:rPr>
          <w:rFonts w:ascii="Trebuchet MS" w:eastAsia="Trebuchet MS" w:hAnsi="Trebuchet MS" w:cs="Trebuchet MS"/>
          <w:sz w:val="40"/>
          <w:szCs w:val="40"/>
        </w:rPr>
      </w:pPr>
      <w:r>
        <w:rPr>
          <w:rFonts w:ascii="Trebuchet MS" w:hAnsi="Trebuchet MS"/>
          <w:sz w:val="40"/>
        </w:rPr>
        <w:t>[Insertar el logotipo de la organización]</w:t>
      </w:r>
    </w:p>
    <w:p w:rsidR="00BB084F" w:rsidRDefault="00FB7C06">
      <w:pPr>
        <w:spacing w:before="200" w:line="240" w:lineRule="auto"/>
        <w:rPr>
          <w:rFonts w:ascii="Trebuchet MS" w:eastAsia="Trebuchet MS" w:hAnsi="Trebuchet MS" w:cs="Trebuchet MS"/>
          <w:sz w:val="18"/>
          <w:szCs w:val="18"/>
        </w:rPr>
      </w:pPr>
      <w:r>
        <w:br/>
      </w:r>
      <w:r>
        <w:rPr>
          <w:rFonts w:ascii="Trebuchet MS" w:hAnsi="Trebuchet MS"/>
          <w:sz w:val="18"/>
        </w:rPr>
        <w:t xml:space="preserve">Transmisión de la red de alertas de salud </w:t>
      </w:r>
    </w:p>
    <w:p w:rsidR="00BB084F" w:rsidRDefault="00FB7C06">
      <w:pPr>
        <w:spacing w:line="240" w:lineRule="auto"/>
        <w:rPr>
          <w:rFonts w:ascii="Trebuchet MS" w:eastAsia="Trebuchet MS" w:hAnsi="Trebuchet MS" w:cs="Trebuchet MS"/>
          <w:b/>
          <w:sz w:val="18"/>
          <w:szCs w:val="18"/>
        </w:rPr>
      </w:pPr>
      <w:r>
        <w:rPr>
          <w:rFonts w:ascii="Trebuchet MS" w:hAnsi="Trebuchet MS"/>
          <w:sz w:val="18"/>
        </w:rPr>
        <w:t xml:space="preserve">Número identificatorio del mensaje: </w:t>
      </w:r>
      <w:r>
        <w:rPr>
          <w:rFonts w:ascii="Trebuchet MS" w:hAnsi="Trebuchet MS"/>
          <w:b/>
          <w:sz w:val="18"/>
        </w:rPr>
        <w:t>[Inserte el número y la hora según corresponda]</w:t>
      </w:r>
    </w:p>
    <w:p w:rsidR="00BB084F" w:rsidRDefault="00FB7C06">
      <w:pPr>
        <w:spacing w:line="240" w:lineRule="auto"/>
        <w:rPr>
          <w:rFonts w:ascii="Trebuchet MS" w:eastAsia="Trebuchet MS" w:hAnsi="Trebuchet MS" w:cs="Trebuchet MS"/>
          <w:sz w:val="18"/>
          <w:szCs w:val="18"/>
        </w:rPr>
      </w:pPr>
      <w:r>
        <w:rPr>
          <w:rFonts w:ascii="Trebuchet MS" w:hAnsi="Trebuchet MS"/>
          <w:sz w:val="18"/>
        </w:rPr>
        <w:t xml:space="preserve">DESDE: </w:t>
      </w:r>
      <w:r>
        <w:rPr>
          <w:rFonts w:ascii="Trebuchet MS" w:hAnsi="Trebuchet MS"/>
          <w:b/>
          <w:sz w:val="18"/>
        </w:rPr>
        <w:t>[Insertar el logotipo de la organización]</w:t>
      </w:r>
      <w:r>
        <w:rPr>
          <w:rFonts w:ascii="Trebuchet MS" w:hAnsi="Trebuchet MS"/>
          <w:sz w:val="18"/>
        </w:rPr>
        <w:t xml:space="preserve"> </w:t>
      </w:r>
    </w:p>
    <w:p w:rsidR="00BB084F" w:rsidRDefault="00FB7C06">
      <w:pPr>
        <w:spacing w:line="240" w:lineRule="auto"/>
        <w:rPr>
          <w:rFonts w:ascii="Trebuchet MS" w:eastAsia="Trebuchet MS" w:hAnsi="Trebuchet MS" w:cs="Trebuchet MS"/>
          <w:sz w:val="18"/>
          <w:szCs w:val="18"/>
        </w:rPr>
      </w:pPr>
      <w:r>
        <w:rPr>
          <w:rFonts w:ascii="Trebuchet MS" w:hAnsi="Trebuchet MS"/>
          <w:sz w:val="18"/>
        </w:rPr>
        <w:t xml:space="preserve">TEMA: Advertencia de la red de alertas de salud — Caso de botulismo de exposición desconocida — Mountain Metro </w:t>
      </w:r>
      <w:proofErr w:type="spellStart"/>
      <w:r>
        <w:rPr>
          <w:rFonts w:ascii="Trebuchet MS" w:hAnsi="Trebuchet MS"/>
          <w:sz w:val="18"/>
        </w:rPr>
        <w:t>Area</w:t>
      </w:r>
      <w:proofErr w:type="spellEnd"/>
      <w:r>
        <w:rPr>
          <w:rFonts w:ascii="Trebuchet MS" w:hAnsi="Trebuchet MS"/>
          <w:sz w:val="18"/>
        </w:rPr>
        <w:t xml:space="preserve">, septiembre de 2021. </w:t>
      </w:r>
    </w:p>
    <w:p w:rsidR="00BB084F" w:rsidRDefault="00FB7C06">
      <w:pPr>
        <w:spacing w:line="240" w:lineRule="auto"/>
        <w:rPr>
          <w:rFonts w:ascii="Trebuchet MS" w:eastAsia="Trebuchet MS" w:hAnsi="Trebuchet MS" w:cs="Trebuchet MS"/>
          <w:sz w:val="18"/>
          <w:szCs w:val="18"/>
        </w:rPr>
      </w:pPr>
      <w:r>
        <w:rPr>
          <w:rFonts w:ascii="Trebuchet MS" w:hAnsi="Trebuchet MS"/>
          <w:sz w:val="18"/>
        </w:rPr>
        <w:t xml:space="preserve">Destinatarios:  Agencias locales de salud </w:t>
      </w:r>
      <w:r w:rsidRPr="004B4FBB">
        <w:rPr>
          <w:rFonts w:ascii="Trebuchet MS" w:hAnsi="Trebuchet MS"/>
          <w:sz w:val="18"/>
        </w:rPr>
        <w:t xml:space="preserve">pública / </w:t>
      </w:r>
      <w:r w:rsidR="004B4FBB" w:rsidRPr="004B4FBB">
        <w:rPr>
          <w:rFonts w:ascii="Trebuchet MS" w:hAnsi="Trebuchet MS"/>
          <w:sz w:val="18"/>
        </w:rPr>
        <w:t>Especialistas en infecciones</w:t>
      </w:r>
      <w:r w:rsidRPr="004B4FBB">
        <w:rPr>
          <w:rFonts w:ascii="Trebuchet MS" w:hAnsi="Trebuchet MS"/>
          <w:sz w:val="18"/>
        </w:rPr>
        <w:t>/ Laboratorios clínicos / Unidades de Emergencia/ Médicos de enfermedades infecciosas / Proveedores</w:t>
      </w:r>
      <w:r>
        <w:rPr>
          <w:rFonts w:ascii="Trebuchet MS" w:hAnsi="Trebuchet MS"/>
          <w:sz w:val="18"/>
        </w:rPr>
        <w:t xml:space="preserve"> de servicios para personas sin hogar</w:t>
      </w:r>
    </w:p>
    <w:p w:rsidR="00BB084F" w:rsidRDefault="00FB7C06">
      <w:pPr>
        <w:spacing w:line="240" w:lineRule="auto"/>
        <w:rPr>
          <w:rFonts w:ascii="Trebuchet MS" w:eastAsia="Trebuchet MS" w:hAnsi="Trebuchet MS" w:cs="Trebuchet MS"/>
          <w:sz w:val="18"/>
          <w:szCs w:val="18"/>
        </w:rPr>
      </w:pPr>
      <w:r>
        <w:rPr>
          <w:rFonts w:ascii="Trebuchet MS" w:hAnsi="Trebuchet MS"/>
          <w:sz w:val="18"/>
        </w:rPr>
        <w:t xml:space="preserve">INSTRUCCIONES PARA LOS DESTINATARIOS: Agencias locales de salud pública — Sírvanse reenviar esta advertencia a los proveedores de atención sanitaria y de servicios para personas sin hogar de su zona. </w:t>
      </w:r>
    </w:p>
    <w:p w:rsidR="00BB084F" w:rsidRDefault="00FB7C06">
      <w:pPr>
        <w:spacing w:line="240" w:lineRule="auto"/>
        <w:rPr>
          <w:rFonts w:ascii="Trebuchet MS" w:eastAsia="Trebuchet MS" w:hAnsi="Trebuchet MS" w:cs="Trebuchet MS"/>
          <w:sz w:val="18"/>
          <w:szCs w:val="18"/>
        </w:rPr>
      </w:pPr>
      <w:r>
        <w:rPr>
          <w:rFonts w:ascii="Trebuchet MS" w:hAnsi="Trebuchet MS"/>
          <w:sz w:val="18"/>
        </w:rPr>
        <w:t>Esta información está destinada a la comunidad de salud pública y de atención sanitaria. No publique este documento en un sitio web de acceso público o en las redes sociales.</w:t>
      </w:r>
    </w:p>
    <w:p w:rsidR="00BB084F" w:rsidRDefault="00BB084F">
      <w:pPr>
        <w:spacing w:line="360" w:lineRule="auto"/>
        <w:rPr>
          <w:rFonts w:ascii="Trebuchet MS" w:eastAsia="Trebuchet MS" w:hAnsi="Trebuchet MS" w:cs="Trebuchet MS"/>
          <w:sz w:val="16"/>
          <w:szCs w:val="16"/>
        </w:rPr>
      </w:pPr>
    </w:p>
    <w:p w:rsidR="00BB084F" w:rsidRDefault="00BB084F">
      <w:pPr>
        <w:spacing w:line="360" w:lineRule="auto"/>
        <w:rPr>
          <w:rFonts w:ascii="Trebuchet MS" w:eastAsia="Trebuchet MS" w:hAnsi="Trebuchet MS" w:cs="Trebuchet MS"/>
          <w:sz w:val="20"/>
          <w:szCs w:val="20"/>
        </w:rPr>
      </w:pPr>
    </w:p>
    <w:p w:rsidR="00BB084F" w:rsidRDefault="00FB7C06">
      <w:pPr>
        <w:spacing w:line="360" w:lineRule="auto"/>
        <w:rPr>
          <w:rFonts w:ascii="Trebuchet MS" w:eastAsia="Trebuchet MS" w:hAnsi="Trebuchet MS" w:cs="Trebuchet MS"/>
          <w:sz w:val="24"/>
          <w:szCs w:val="24"/>
        </w:rPr>
      </w:pPr>
      <w:r>
        <w:rPr>
          <w:rFonts w:ascii="Trebuchet MS" w:hAnsi="Trebuchet MS"/>
          <w:sz w:val="24"/>
        </w:rPr>
        <w:t xml:space="preserve">ADVERTENCIA DE SALUD | Caso de botulismo de exposición desconocida — Mountain Metro </w:t>
      </w:r>
      <w:proofErr w:type="spellStart"/>
      <w:r>
        <w:rPr>
          <w:rFonts w:ascii="Trebuchet MS" w:hAnsi="Trebuchet MS"/>
          <w:sz w:val="24"/>
        </w:rPr>
        <w:t>Area</w:t>
      </w:r>
      <w:proofErr w:type="spellEnd"/>
      <w:r>
        <w:rPr>
          <w:rFonts w:ascii="Trebuchet MS" w:hAnsi="Trebuchet MS"/>
          <w:sz w:val="24"/>
        </w:rPr>
        <w:t>| septiembre de 2021</w:t>
      </w:r>
    </w:p>
    <w:p w:rsidR="00BB084F" w:rsidRDefault="00FB7C06">
      <w:pPr>
        <w:spacing w:line="360" w:lineRule="auto"/>
        <w:rPr>
          <w:rFonts w:ascii="Trebuchet MS" w:eastAsia="Trebuchet MS" w:hAnsi="Trebuchet MS" w:cs="Trebuchet MS"/>
        </w:rPr>
      </w:pPr>
      <w:r>
        <w:rPr>
          <w:rFonts w:ascii="Trebuchet MS" w:hAnsi="Trebuchet MS"/>
        </w:rPr>
        <w:t>Proveedores de servicios de salud:  Distribuya ampliamente en su consultorio</w:t>
      </w:r>
    </w:p>
    <w:p w:rsidR="00BB084F" w:rsidRDefault="00FB7C06">
      <w:pPr>
        <w:spacing w:line="360" w:lineRule="auto"/>
        <w:rPr>
          <w:rFonts w:ascii="Trebuchet MS" w:eastAsia="Trebuchet MS" w:hAnsi="Trebuchet MS" w:cs="Trebuchet MS"/>
          <w:b/>
          <w:sz w:val="18"/>
          <w:szCs w:val="18"/>
        </w:rPr>
      </w:pPr>
      <w:r>
        <w:rPr>
          <w:rFonts w:ascii="Trebuchet MS" w:hAnsi="Trebuchet MS"/>
          <w:b/>
          <w:sz w:val="18"/>
        </w:rPr>
        <w:t>Esta información está destinada a la comunidad de salud pública y de atención sanitaria. No publique este documento en un sitio web de acceso público o en las redes sociales.</w:t>
      </w:r>
    </w:p>
    <w:p w:rsidR="00BB084F" w:rsidRDefault="00BB084F">
      <w:pPr>
        <w:spacing w:line="360" w:lineRule="auto"/>
        <w:rPr>
          <w:rFonts w:ascii="Trebuchet MS" w:eastAsia="Trebuchet MS" w:hAnsi="Trebuchet MS" w:cs="Trebuchet MS"/>
        </w:rPr>
      </w:pPr>
    </w:p>
    <w:tbl>
      <w:tblPr>
        <w:tblStyle w:val="a0"/>
        <w:tblW w:w="9360" w:type="dxa"/>
        <w:tblBorders>
          <w:top w:val="single" w:sz="8" w:space="0" w:color="990000"/>
          <w:left w:val="single" w:sz="8" w:space="0" w:color="990000"/>
          <w:bottom w:val="single" w:sz="8" w:space="0" w:color="990000"/>
          <w:right w:val="single" w:sz="8" w:space="0" w:color="990000"/>
          <w:insideH w:val="single" w:sz="8" w:space="0" w:color="990000"/>
          <w:insideV w:val="single" w:sz="8" w:space="0" w:color="990000"/>
        </w:tblBorders>
        <w:tblLayout w:type="fixed"/>
        <w:tblLook w:val="0600" w:firstRow="0" w:lastRow="0" w:firstColumn="0" w:lastColumn="0" w:noHBand="1" w:noVBand="1"/>
      </w:tblPr>
      <w:tblGrid>
        <w:gridCol w:w="9360"/>
      </w:tblGrid>
      <w:tr w:rsidR="00BB084F">
        <w:tc>
          <w:tcPr>
            <w:tcW w:w="9360" w:type="dxa"/>
            <w:shd w:val="clear" w:color="auto" w:fill="auto"/>
            <w:tcMar>
              <w:top w:w="115" w:type="dxa"/>
              <w:left w:w="115" w:type="dxa"/>
              <w:bottom w:w="115" w:type="dxa"/>
              <w:right w:w="115" w:type="dxa"/>
            </w:tcMar>
          </w:tcPr>
          <w:p w:rsidR="00BB084F" w:rsidRDefault="00FB7C06">
            <w:pPr>
              <w:spacing w:line="360" w:lineRule="auto"/>
              <w:ind w:left="90"/>
              <w:rPr>
                <w:rFonts w:ascii="Trebuchet MS" w:eastAsia="Trebuchet MS" w:hAnsi="Trebuchet MS" w:cs="Trebuchet MS"/>
                <w:b/>
                <w:sz w:val="24"/>
                <w:szCs w:val="24"/>
              </w:rPr>
            </w:pPr>
            <w:r>
              <w:rPr>
                <w:rFonts w:ascii="Trebuchet MS" w:hAnsi="Trebuchet MS"/>
                <w:b/>
                <w:sz w:val="24"/>
              </w:rPr>
              <w:t>Puntos clave</w:t>
            </w:r>
          </w:p>
          <w:p w:rsidR="00BB084F" w:rsidRDefault="00FB7C06">
            <w:pPr>
              <w:numPr>
                <w:ilvl w:val="0"/>
                <w:numId w:val="2"/>
              </w:numPr>
              <w:spacing w:line="360" w:lineRule="auto"/>
              <w:rPr>
                <w:rFonts w:ascii="Trebuchet MS" w:eastAsia="Trebuchet MS" w:hAnsi="Trebuchet MS" w:cs="Trebuchet MS"/>
                <w:b/>
              </w:rPr>
            </w:pPr>
            <w:r>
              <w:rPr>
                <w:rFonts w:ascii="Trebuchet MS" w:hAnsi="Trebuchet MS"/>
              </w:rPr>
              <w:t xml:space="preserve">El Departamento Estatal de Salud Pública (SDPH, por sus siglas en inglés) está investigando actualmente un presunto caso (resultados de las pruebas pendientes) de botulismo en el área metropolitana de Mountain. </w:t>
            </w:r>
          </w:p>
          <w:p w:rsidR="00BB084F" w:rsidRDefault="00FB7C06">
            <w:pPr>
              <w:numPr>
                <w:ilvl w:val="0"/>
                <w:numId w:val="2"/>
              </w:numPr>
              <w:spacing w:line="360" w:lineRule="auto"/>
              <w:rPr>
                <w:rFonts w:ascii="Trebuchet MS" w:eastAsia="Trebuchet MS" w:hAnsi="Trebuchet MS" w:cs="Trebuchet MS"/>
                <w:b/>
              </w:rPr>
            </w:pPr>
            <w:r>
              <w:rPr>
                <w:rFonts w:ascii="Trebuchet MS" w:hAnsi="Trebuchet MS"/>
              </w:rPr>
              <w:t xml:space="preserve">Se sospecha que se trata un botulismo transmitido por alimentos. En el momento en que contrajo la enfermedad, la persona afectada se hallaba viviendo sin hogar fijo. El organismo de Salud Pública está investigando el caso a fines de determinar la fuente de la intoxicación, pero debido al caso en particular, no se ha podido completar un historial de exposición. Es posible que un alimento contaminado haya estado o siga estando a mano de otras personas. </w:t>
            </w:r>
          </w:p>
          <w:p w:rsidR="00BB084F" w:rsidRDefault="00FB7C06">
            <w:pPr>
              <w:numPr>
                <w:ilvl w:val="0"/>
                <w:numId w:val="2"/>
              </w:numPr>
              <w:spacing w:line="360" w:lineRule="auto"/>
              <w:rPr>
                <w:rFonts w:ascii="Trebuchet MS" w:eastAsia="Trebuchet MS" w:hAnsi="Trebuchet MS" w:cs="Trebuchet MS"/>
              </w:rPr>
            </w:pPr>
            <w:r>
              <w:rPr>
                <w:rFonts w:ascii="Trebuchet MS" w:hAnsi="Trebuchet MS"/>
              </w:rPr>
              <w:t>Los casos de botulismo son raros y a menudo difíciles de diagnosticar.</w:t>
            </w:r>
          </w:p>
          <w:p w:rsidR="00BB084F" w:rsidRDefault="00FB7C06">
            <w:pPr>
              <w:numPr>
                <w:ilvl w:val="0"/>
                <w:numId w:val="2"/>
              </w:numPr>
              <w:spacing w:line="360" w:lineRule="auto"/>
              <w:rPr>
                <w:rFonts w:ascii="Trebuchet MS" w:eastAsia="Trebuchet MS" w:hAnsi="Trebuchet MS" w:cs="Trebuchet MS"/>
              </w:rPr>
            </w:pPr>
            <w:r>
              <w:rPr>
                <w:rFonts w:ascii="Trebuchet MS" w:hAnsi="Trebuchet MS"/>
              </w:rPr>
              <w:t xml:space="preserve">Los proveedores de servicios para personas sin hogar deberán buscar atención médica para aquellos clientes con síntomas compatibles con el botulismo. </w:t>
            </w:r>
          </w:p>
          <w:p w:rsidR="00BB084F" w:rsidRDefault="00FB7C06">
            <w:pPr>
              <w:numPr>
                <w:ilvl w:val="0"/>
                <w:numId w:val="2"/>
              </w:numPr>
              <w:spacing w:line="360" w:lineRule="auto"/>
              <w:rPr>
                <w:rFonts w:ascii="Calibri" w:eastAsia="Calibri" w:hAnsi="Calibri" w:cs="Calibri"/>
              </w:rPr>
            </w:pPr>
            <w:r>
              <w:rPr>
                <w:rFonts w:ascii="Trebuchet MS" w:hAnsi="Trebuchet MS"/>
              </w:rPr>
              <w:t xml:space="preserve">Los que trabajan en la prevención de infecciones, los laboratoristas y los proveedores de servicios de salud deben saber que el botulismo es una afección que requiere notificación inmediata en [Insertar Estado] y que los casos presuntos deben </w:t>
            </w:r>
            <w:r>
              <w:rPr>
                <w:rFonts w:ascii="Trebuchet MS" w:hAnsi="Trebuchet MS"/>
              </w:rPr>
              <w:lastRenderedPageBreak/>
              <w:t>reportarse de inmediato al SDPH ([insertar número de teléfono] o llamando fuera de horario al [insertar número de teléfono]).</w:t>
            </w:r>
          </w:p>
          <w:p w:rsidR="00BB084F" w:rsidRDefault="00FB7C06">
            <w:pPr>
              <w:numPr>
                <w:ilvl w:val="0"/>
                <w:numId w:val="2"/>
              </w:numPr>
              <w:spacing w:line="360" w:lineRule="auto"/>
              <w:rPr>
                <w:rFonts w:ascii="Trebuchet MS" w:eastAsia="Trebuchet MS" w:hAnsi="Trebuchet MS" w:cs="Trebuchet MS"/>
              </w:rPr>
            </w:pPr>
            <w:r>
              <w:rPr>
                <w:rFonts w:ascii="Trebuchet MS" w:hAnsi="Trebuchet MS"/>
              </w:rPr>
              <w:t>Una consulta con el SPDH y los CDC (Centros para el Control y la Prevención de Enfermedades) es obligatoria antes de que una antitoxina botulínica sea entregada para ser administrada en pacientes.</w:t>
            </w:r>
          </w:p>
        </w:tc>
      </w:tr>
    </w:tbl>
    <w:p w:rsidR="00BB084F" w:rsidRDefault="00BB084F">
      <w:pPr>
        <w:spacing w:line="360" w:lineRule="auto"/>
        <w:rPr>
          <w:rFonts w:ascii="Trebuchet MS" w:eastAsia="Trebuchet MS" w:hAnsi="Trebuchet MS" w:cs="Trebuchet MS"/>
          <w:b/>
        </w:rPr>
      </w:pPr>
    </w:p>
    <w:p w:rsidR="00BB084F" w:rsidRDefault="00BB084F">
      <w:pPr>
        <w:spacing w:after="200"/>
        <w:rPr>
          <w:rFonts w:ascii="Trebuchet MS" w:eastAsia="Trebuchet MS" w:hAnsi="Trebuchet MS" w:cs="Trebuchet MS"/>
          <w:b/>
          <w:sz w:val="20"/>
          <w:szCs w:val="20"/>
        </w:rPr>
      </w:pPr>
    </w:p>
    <w:p w:rsidR="00BB084F" w:rsidRDefault="00FB7C06">
      <w:pPr>
        <w:spacing w:after="200"/>
        <w:rPr>
          <w:rFonts w:ascii="Trebuchet MS" w:eastAsia="Trebuchet MS" w:hAnsi="Trebuchet MS" w:cs="Trebuchet MS"/>
          <w:b/>
          <w:sz w:val="20"/>
          <w:szCs w:val="20"/>
        </w:rPr>
      </w:pPr>
      <w:r>
        <w:rPr>
          <w:rFonts w:ascii="Trebuchet MS" w:hAnsi="Trebuchet MS"/>
          <w:b/>
          <w:sz w:val="20"/>
        </w:rPr>
        <w:t>Información de referencia</w:t>
      </w:r>
      <w:r>
        <w:rPr>
          <w:rFonts w:ascii="Trebuchet MS" w:hAnsi="Trebuchet MS"/>
          <w:b/>
          <w:sz w:val="20"/>
        </w:rPr>
        <w:br/>
      </w:r>
    </w:p>
    <w:p w:rsidR="00BB084F" w:rsidRDefault="00FB7C06">
      <w:pPr>
        <w:spacing w:after="200"/>
        <w:rPr>
          <w:rFonts w:ascii="Trebuchet MS" w:eastAsia="Trebuchet MS" w:hAnsi="Trebuchet MS" w:cs="Trebuchet MS"/>
          <w:sz w:val="20"/>
          <w:szCs w:val="20"/>
        </w:rPr>
      </w:pPr>
      <w:r>
        <w:rPr>
          <w:rFonts w:ascii="Trebuchet MS" w:hAnsi="Trebuchet MS"/>
          <w:sz w:val="20"/>
        </w:rPr>
        <w:t>A principios de septiembre de 2021, se notificó un presunto</w:t>
      </w:r>
      <w:r w:rsidR="00E94BAD">
        <w:rPr>
          <w:rFonts w:ascii="Trebuchet MS" w:hAnsi="Trebuchet MS"/>
          <w:sz w:val="20"/>
        </w:rPr>
        <w:t xml:space="preserve"> caso de botulismo </w:t>
      </w:r>
      <w:r>
        <w:rPr>
          <w:rFonts w:ascii="Trebuchet MS" w:hAnsi="Trebuchet MS"/>
          <w:sz w:val="20"/>
        </w:rPr>
        <w:t>(pendiente el resultado de las pruebas) en una mujer que residía en el área metropolitana de Mountain. Se trata de una mujer adulta que actualmente se encuentra sin hogar. La afectada fue hospitalizada, tratada con antitoxina botulínica heptavalente (HBAT, por sus siglas en inglés)</w:t>
      </w:r>
      <w:r w:rsidR="00E94BAD">
        <w:rPr>
          <w:rFonts w:ascii="Trebuchet MS" w:hAnsi="Trebuchet MS"/>
          <w:sz w:val="20"/>
        </w:rPr>
        <w:t>; hasta la fecha ha sobrevivido</w:t>
      </w:r>
      <w:r>
        <w:rPr>
          <w:rFonts w:ascii="Trebuchet MS" w:hAnsi="Trebuchet MS"/>
          <w:sz w:val="20"/>
        </w:rPr>
        <w:t xml:space="preserve">. La mujer presentaba síntomas consistentes con el botulismo: párpados caídos, caída facial, dificultad para tragar, debilidad muscular y parálisis simétrica descendente progresiva por lo que precisó ventilación mecánica. </w:t>
      </w:r>
    </w:p>
    <w:p w:rsidR="00BB084F" w:rsidRDefault="00FB7C06">
      <w:pPr>
        <w:rPr>
          <w:rFonts w:ascii="Trebuchet MS" w:eastAsia="Trebuchet MS" w:hAnsi="Trebuchet MS" w:cs="Trebuchet MS"/>
          <w:sz w:val="20"/>
          <w:szCs w:val="20"/>
        </w:rPr>
      </w:pPr>
      <w:r>
        <w:rPr>
          <w:rFonts w:ascii="Trebuchet MS" w:hAnsi="Trebuchet MS"/>
          <w:sz w:val="20"/>
        </w:rPr>
        <w:t>Salud Pública está investigando el caso y no ha determinado aún la fuente definitiva; dicho esto, la investigación está en curso. Debido a la enfermedad de la afectada, no se pudo completar un historial de exposición. Es posible que un alimento contaminado haya estado o siga est</w:t>
      </w:r>
      <w:r w:rsidR="002C297F">
        <w:rPr>
          <w:rFonts w:ascii="Trebuchet MS" w:hAnsi="Trebuchet MS"/>
          <w:sz w:val="20"/>
        </w:rPr>
        <w:t xml:space="preserve">ando a mano de otras personas. </w:t>
      </w:r>
      <w:r>
        <w:rPr>
          <w:rFonts w:ascii="Trebuchet MS" w:hAnsi="Trebuchet MS"/>
          <w:sz w:val="20"/>
        </w:rPr>
        <w:t xml:space="preserve">La mujer no presentaba heridas o factores de riesgo de botulismo por heridas (como, por ejemplo, el uso de drogas inyectables o un traumatismo físico reciente). </w:t>
      </w:r>
    </w:p>
    <w:p w:rsidR="00BB084F" w:rsidRDefault="00BB084F">
      <w:pPr>
        <w:rPr>
          <w:rFonts w:ascii="Trebuchet MS" w:eastAsia="Trebuchet MS" w:hAnsi="Trebuchet MS" w:cs="Trebuchet MS"/>
          <w:b/>
          <w:sz w:val="20"/>
          <w:szCs w:val="20"/>
        </w:rPr>
      </w:pPr>
    </w:p>
    <w:p w:rsidR="00BB084F" w:rsidRDefault="00FB7C06">
      <w:pPr>
        <w:rPr>
          <w:rFonts w:ascii="Trebuchet MS" w:eastAsia="Trebuchet MS" w:hAnsi="Trebuchet MS" w:cs="Trebuchet MS"/>
          <w:b/>
          <w:sz w:val="20"/>
          <w:szCs w:val="20"/>
        </w:rPr>
      </w:pPr>
      <w:r>
        <w:rPr>
          <w:rFonts w:ascii="Trebuchet MS" w:hAnsi="Trebuchet MS"/>
          <w:b/>
          <w:sz w:val="20"/>
        </w:rPr>
        <w:t xml:space="preserve">Información general sobre el botulismo </w:t>
      </w:r>
    </w:p>
    <w:p w:rsidR="00BB084F" w:rsidRDefault="00FB7C06">
      <w:pPr>
        <w:rPr>
          <w:rFonts w:ascii="Trebuchet MS" w:eastAsia="Trebuchet MS" w:hAnsi="Trebuchet MS" w:cs="Trebuchet MS"/>
          <w:sz w:val="20"/>
          <w:szCs w:val="20"/>
        </w:rPr>
      </w:pPr>
      <w:r>
        <w:rPr>
          <w:rFonts w:ascii="Trebuchet MS" w:hAnsi="Trebuchet MS"/>
          <w:sz w:val="20"/>
        </w:rPr>
        <w:t>El botulismo es una enfermedad neurológica causada por una toxina producida por la bacteria</w:t>
      </w:r>
      <w:r>
        <w:rPr>
          <w:rFonts w:ascii="Trebuchet MS" w:hAnsi="Trebuchet MS"/>
          <w:i/>
          <w:iCs/>
          <w:sz w:val="20"/>
        </w:rPr>
        <w:t xml:space="preserve"> </w:t>
      </w:r>
      <w:proofErr w:type="spellStart"/>
      <w:r>
        <w:rPr>
          <w:rFonts w:ascii="Trebuchet MS" w:hAnsi="Trebuchet MS"/>
          <w:i/>
          <w:iCs/>
          <w:sz w:val="20"/>
        </w:rPr>
        <w:t>Clostridium</w:t>
      </w:r>
      <w:proofErr w:type="spellEnd"/>
      <w:r>
        <w:rPr>
          <w:rFonts w:ascii="Trebuchet MS" w:hAnsi="Trebuchet MS"/>
          <w:i/>
          <w:iCs/>
          <w:sz w:val="20"/>
        </w:rPr>
        <w:t xml:space="preserve"> </w:t>
      </w:r>
      <w:proofErr w:type="spellStart"/>
      <w:r>
        <w:rPr>
          <w:rFonts w:ascii="Trebuchet MS" w:hAnsi="Trebuchet MS"/>
          <w:i/>
          <w:iCs/>
          <w:sz w:val="20"/>
        </w:rPr>
        <w:t>botulinum</w:t>
      </w:r>
      <w:proofErr w:type="spellEnd"/>
      <w:r>
        <w:rPr>
          <w:rFonts w:ascii="Trebuchet MS" w:hAnsi="Trebuchet MS"/>
          <w:sz w:val="20"/>
        </w:rPr>
        <w:t xml:space="preserve">. Los casos de botulismo son poco frecuentes y a menudo difíciles de diagnosticar. El tratamiento con antitoxina botulínica en las primeras fases de la enfermedad mejora la recuperación de los pacientes. Hay tres tipos de botulismo de origen natural: </w:t>
      </w:r>
    </w:p>
    <w:p w:rsidR="00BB084F" w:rsidRDefault="00FB7C06">
      <w:pPr>
        <w:ind w:left="720" w:hanging="270"/>
        <w:rPr>
          <w:rFonts w:ascii="Trebuchet MS" w:eastAsia="Trebuchet MS" w:hAnsi="Trebuchet MS" w:cs="Trebuchet MS"/>
          <w:sz w:val="20"/>
          <w:szCs w:val="20"/>
        </w:rPr>
      </w:pPr>
      <w:r>
        <w:rPr>
          <w:rFonts w:ascii="Trebuchet MS" w:hAnsi="Trebuchet MS"/>
          <w:sz w:val="20"/>
        </w:rPr>
        <w:t xml:space="preserve">1.  Botulismo ocasionado por heridas; el mismo ocurre cuando una herida infectada por C. </w:t>
      </w:r>
      <w:proofErr w:type="spellStart"/>
      <w:r>
        <w:rPr>
          <w:rFonts w:ascii="Trebuchet MS" w:hAnsi="Trebuchet MS"/>
          <w:sz w:val="20"/>
        </w:rPr>
        <w:t>botulinum</w:t>
      </w:r>
      <w:proofErr w:type="spellEnd"/>
      <w:r>
        <w:rPr>
          <w:rFonts w:ascii="Trebuchet MS" w:hAnsi="Trebuchet MS"/>
          <w:sz w:val="20"/>
        </w:rPr>
        <w:t xml:space="preserve"> produce toxinas, muchas veces asociado a la heroína de alquitrán negro.</w:t>
      </w:r>
    </w:p>
    <w:p w:rsidR="00BB084F" w:rsidRDefault="00FB7C06">
      <w:pPr>
        <w:ind w:left="720" w:hanging="270"/>
        <w:rPr>
          <w:rFonts w:ascii="Trebuchet MS" w:eastAsia="Trebuchet MS" w:hAnsi="Trebuchet MS" w:cs="Trebuchet MS"/>
          <w:sz w:val="20"/>
          <w:szCs w:val="20"/>
        </w:rPr>
      </w:pPr>
      <w:r>
        <w:rPr>
          <w:rFonts w:ascii="Trebuchet MS" w:hAnsi="Trebuchet MS"/>
          <w:sz w:val="20"/>
        </w:rPr>
        <w:t>2.  El botulismo de origen alimentario ocurre cuando se ingiere la toxina, a menudo a partir de alimentos enlatados en casa con bajo contenido ácídico o de alimentos a temperatura ambiente en un entorno con poco oxígeno; con frecuencia la fuente son papas mal cocinadas.</w:t>
      </w:r>
    </w:p>
    <w:p w:rsidR="00BB084F" w:rsidRDefault="00FB7C06">
      <w:pPr>
        <w:ind w:left="720" w:hanging="270"/>
        <w:rPr>
          <w:rFonts w:ascii="Trebuchet MS" w:eastAsia="Trebuchet MS" w:hAnsi="Trebuchet MS" w:cs="Trebuchet MS"/>
          <w:sz w:val="20"/>
          <w:szCs w:val="20"/>
        </w:rPr>
      </w:pPr>
      <w:r>
        <w:rPr>
          <w:rFonts w:ascii="Trebuchet MS" w:hAnsi="Trebuchet MS"/>
          <w:sz w:val="20"/>
        </w:rPr>
        <w:t xml:space="preserve">3.  El botulismo infantil se produce cuando bebés de menos de un año ingieren esporas bacterianas. </w:t>
      </w:r>
    </w:p>
    <w:p w:rsidR="00BB084F" w:rsidRDefault="00FB7C06">
      <w:pPr>
        <w:rPr>
          <w:rFonts w:ascii="Trebuchet MS" w:eastAsia="Trebuchet MS" w:hAnsi="Trebuchet MS" w:cs="Trebuchet MS"/>
          <w:sz w:val="20"/>
          <w:szCs w:val="20"/>
        </w:rPr>
      </w:pPr>
      <w:r>
        <w:rPr>
          <w:rFonts w:ascii="Trebuchet MS" w:hAnsi="Trebuchet MS"/>
          <w:sz w:val="20"/>
        </w:rPr>
        <w:t xml:space="preserve"> </w:t>
      </w:r>
    </w:p>
    <w:p w:rsidR="00BB084F" w:rsidRDefault="00FB7C06">
      <w:pPr>
        <w:rPr>
          <w:rFonts w:ascii="Trebuchet MS" w:eastAsia="Trebuchet MS" w:hAnsi="Trebuchet MS" w:cs="Trebuchet MS"/>
          <w:sz w:val="20"/>
          <w:szCs w:val="20"/>
          <w:highlight w:val="white"/>
        </w:rPr>
      </w:pPr>
      <w:r>
        <w:rPr>
          <w:rFonts w:ascii="Trebuchet MS" w:hAnsi="Trebuchet MS"/>
          <w:sz w:val="20"/>
        </w:rPr>
        <w:t xml:space="preserve">El botulismo se caracteriza por un periodo de incubación que va de dos horas a ocho días, y por síntomas de parálisis simétrica descendente. </w:t>
      </w:r>
      <w:r>
        <w:rPr>
          <w:rFonts w:ascii="Trebuchet MS" w:hAnsi="Trebuchet MS"/>
          <w:sz w:val="20"/>
          <w:highlight w:val="white"/>
        </w:rPr>
        <w:t xml:space="preserve">En Estados Unidos se registra un promedio de 145 casos al año. De ellos, aproximadamente el 15% son de origen alimentario, el 20% por una herida y el 65% de botulismo infantil. Antes de estos casos recientes, los últimos casos confirmados de transmisión alimentaria en [Insertar estado] se produjeron en 2019 entre un grupo que consumió un producto hecho de papa preparado comercialmente y almacenado a temperaturas inadecuadas. </w:t>
      </w:r>
    </w:p>
    <w:p w:rsidR="00BB084F" w:rsidRDefault="00FB7C06">
      <w:pPr>
        <w:rPr>
          <w:rFonts w:ascii="Trebuchet MS" w:eastAsia="Trebuchet MS" w:hAnsi="Trebuchet MS" w:cs="Trebuchet MS"/>
          <w:sz w:val="20"/>
          <w:szCs w:val="20"/>
        </w:rPr>
      </w:pPr>
      <w:r>
        <w:rPr>
          <w:rFonts w:ascii="Trebuchet MS" w:hAnsi="Trebuchet MS"/>
          <w:sz w:val="20"/>
        </w:rPr>
        <w:t xml:space="preserve"> </w:t>
      </w:r>
    </w:p>
    <w:p w:rsidR="00BB084F" w:rsidRDefault="00FB7C06">
      <w:pPr>
        <w:rPr>
          <w:rFonts w:ascii="Trebuchet MS" w:eastAsia="Trebuchet MS" w:hAnsi="Trebuchet MS" w:cs="Trebuchet MS"/>
          <w:sz w:val="20"/>
          <w:szCs w:val="20"/>
        </w:rPr>
      </w:pPr>
      <w:r>
        <w:rPr>
          <w:rFonts w:ascii="Trebuchet MS" w:hAnsi="Trebuchet MS"/>
          <w:sz w:val="20"/>
        </w:rPr>
        <w:lastRenderedPageBreak/>
        <w:t>Las heces, el suero y los alimentos con riesgo epidemiológico pueden ser analizados tanto para detectar la presencia de</w:t>
      </w:r>
      <w:r w:rsidR="002C297F">
        <w:rPr>
          <w:rFonts w:ascii="Trebuchet MS" w:hAnsi="Trebuchet MS"/>
          <w:sz w:val="20"/>
        </w:rPr>
        <w:t xml:space="preserve"> la bacteria como de la toxina.</w:t>
      </w:r>
      <w:r>
        <w:rPr>
          <w:rFonts w:ascii="Trebuchet MS" w:hAnsi="Trebuchet MS"/>
          <w:sz w:val="20"/>
        </w:rPr>
        <w:t xml:space="preserve"> El CDC realiza las pruebas para la mayoría de los casos de sospecha de botulismo transmitido por los alimentos, pero las muestras deben presentarse a través del laboratorio del SDPH. </w:t>
      </w:r>
    </w:p>
    <w:p w:rsidR="00BB084F" w:rsidRDefault="00FB7C06">
      <w:pPr>
        <w:rPr>
          <w:rFonts w:ascii="Trebuchet MS" w:eastAsia="Trebuchet MS" w:hAnsi="Trebuchet MS" w:cs="Trebuchet MS"/>
          <w:sz w:val="20"/>
          <w:szCs w:val="20"/>
        </w:rPr>
      </w:pPr>
      <w:r>
        <w:rPr>
          <w:rFonts w:ascii="Trebuchet MS" w:hAnsi="Trebuchet MS"/>
          <w:sz w:val="20"/>
        </w:rPr>
        <w:t xml:space="preserve"> </w:t>
      </w:r>
    </w:p>
    <w:p w:rsidR="00BB084F" w:rsidRDefault="00FB7C06">
      <w:pPr>
        <w:rPr>
          <w:rFonts w:ascii="Trebuchet MS" w:eastAsia="Trebuchet MS" w:hAnsi="Trebuchet MS" w:cs="Trebuchet MS"/>
          <w:sz w:val="20"/>
          <w:szCs w:val="20"/>
        </w:rPr>
      </w:pPr>
      <w:r>
        <w:rPr>
          <w:rFonts w:ascii="Trebuchet MS" w:hAnsi="Trebuchet MS"/>
          <w:sz w:val="20"/>
        </w:rPr>
        <w:t xml:space="preserve">El CDC exige que se realice una consulta con un médico epidemiólogo para aprobar tanto las pruebas como la liberación de la antitoxina botulínica para el tratamiento de los pacientes. Cabe señalar que la antitoxina botulínica solo está disponible a través del CDC. La consulta para los casos presuntos de botulismo infantil se realiza conjuntamente con el Programa de Tratamiento y Prevención del Botulismo Infantil del Departamento de Salud </w:t>
      </w:r>
      <w:r w:rsidRPr="004B4FBB">
        <w:rPr>
          <w:rFonts w:ascii="Trebuchet MS" w:hAnsi="Trebuchet MS"/>
          <w:sz w:val="20"/>
        </w:rPr>
        <w:t>Pública de California</w:t>
      </w:r>
      <w:r>
        <w:rPr>
          <w:rFonts w:ascii="Trebuchet MS" w:hAnsi="Trebuchet MS"/>
          <w:sz w:val="20"/>
        </w:rPr>
        <w:t xml:space="preserve">. </w:t>
      </w:r>
    </w:p>
    <w:p w:rsidR="00BB084F" w:rsidRDefault="00FB7C06">
      <w:pPr>
        <w:rPr>
          <w:rFonts w:ascii="Trebuchet MS" w:eastAsia="Trebuchet MS" w:hAnsi="Trebuchet MS" w:cs="Trebuchet MS"/>
          <w:sz w:val="20"/>
          <w:szCs w:val="20"/>
        </w:rPr>
      </w:pPr>
      <w:r>
        <w:rPr>
          <w:rFonts w:ascii="Trebuchet MS" w:hAnsi="Trebuchet MS"/>
          <w:sz w:val="20"/>
        </w:rPr>
        <w:t xml:space="preserve"> </w:t>
      </w:r>
    </w:p>
    <w:p w:rsidR="00BB084F" w:rsidRDefault="00FB7C06">
      <w:pPr>
        <w:rPr>
          <w:rFonts w:ascii="Trebuchet MS" w:eastAsia="Trebuchet MS" w:hAnsi="Trebuchet MS" w:cs="Trebuchet MS"/>
          <w:b/>
          <w:sz w:val="20"/>
          <w:szCs w:val="20"/>
          <w:u w:val="single"/>
        </w:rPr>
      </w:pPr>
      <w:r>
        <w:rPr>
          <w:rFonts w:ascii="Trebuchet MS" w:hAnsi="Trebuchet MS"/>
          <w:sz w:val="20"/>
        </w:rPr>
        <w:t xml:space="preserve">Los epidemiólogos del SDPH están disponibles para consultas con médicos clínicos sobre casos presuntos a </w:t>
      </w:r>
      <w:r w:rsidRPr="004B4FBB">
        <w:rPr>
          <w:rFonts w:ascii="Trebuchet MS" w:hAnsi="Trebuchet MS"/>
          <w:sz w:val="20"/>
        </w:rPr>
        <w:t>fines de derivarlos al centro de salud adecuado, ya sea los CDC o el Departamento de Salud Pública de California (para casos</w:t>
      </w:r>
      <w:r>
        <w:rPr>
          <w:rFonts w:ascii="Trebuchet MS" w:hAnsi="Trebuchet MS"/>
          <w:sz w:val="20"/>
        </w:rPr>
        <w:t xml:space="preserve"> de botulismo infantil). El SDPH facilita asimismo la entrega de muestras alimenticias y humanas a los CDC para pruebas de laboratorio.  </w:t>
      </w:r>
    </w:p>
    <w:p w:rsidR="00BB084F" w:rsidRDefault="00FB7C06">
      <w:pPr>
        <w:rPr>
          <w:rFonts w:ascii="Trebuchet MS" w:eastAsia="Trebuchet MS" w:hAnsi="Trebuchet MS" w:cs="Trebuchet MS"/>
          <w:sz w:val="20"/>
          <w:szCs w:val="20"/>
        </w:rPr>
      </w:pPr>
      <w:r>
        <w:rPr>
          <w:rFonts w:ascii="Trebuchet MS" w:hAnsi="Trebuchet MS"/>
          <w:sz w:val="20"/>
        </w:rPr>
        <w:t xml:space="preserve"> </w:t>
      </w:r>
    </w:p>
    <w:p w:rsidR="00BB084F" w:rsidRDefault="00FB7C06">
      <w:pPr>
        <w:spacing w:after="200" w:line="360" w:lineRule="auto"/>
        <w:rPr>
          <w:rFonts w:ascii="Trebuchet MS" w:eastAsia="Trebuchet MS" w:hAnsi="Trebuchet MS" w:cs="Trebuchet MS"/>
          <w:b/>
          <w:sz w:val="20"/>
          <w:szCs w:val="20"/>
        </w:rPr>
      </w:pPr>
      <w:r>
        <w:rPr>
          <w:rFonts w:ascii="Trebuchet MS" w:hAnsi="Trebuchet MS"/>
          <w:b/>
          <w:sz w:val="20"/>
        </w:rPr>
        <w:t>Recomendaciones / ori</w:t>
      </w:r>
      <w:bookmarkStart w:id="0" w:name="_GoBack"/>
      <w:bookmarkEnd w:id="0"/>
      <w:r>
        <w:rPr>
          <w:rFonts w:ascii="Trebuchet MS" w:hAnsi="Trebuchet MS"/>
          <w:b/>
          <w:sz w:val="20"/>
        </w:rPr>
        <w:t>entación</w:t>
      </w:r>
    </w:p>
    <w:p w:rsidR="00BB084F" w:rsidRDefault="00FB7C06">
      <w:pPr>
        <w:numPr>
          <w:ilvl w:val="0"/>
          <w:numId w:val="2"/>
        </w:numPr>
        <w:rPr>
          <w:rFonts w:ascii="Calibri" w:eastAsia="Calibri" w:hAnsi="Calibri" w:cs="Calibri"/>
          <w:sz w:val="20"/>
          <w:szCs w:val="20"/>
        </w:rPr>
      </w:pPr>
      <w:r>
        <w:rPr>
          <w:rFonts w:ascii="Trebuchet MS" w:hAnsi="Trebuchet MS"/>
          <w:b/>
          <w:sz w:val="20"/>
          <w:u w:val="single"/>
        </w:rPr>
        <w:t>Si tiene sospechas sobre un posible caso de botulismo o si es un laboratorista y recibe muestras para pruebas de botulismo, comuníquese inmediatamente con el SDPH al [insertar número de teléfono] o después del horario laboral al [insertar número de teléfono].</w:t>
      </w:r>
    </w:p>
    <w:p w:rsidR="00BB084F" w:rsidRDefault="00FB7C06">
      <w:pPr>
        <w:numPr>
          <w:ilvl w:val="0"/>
          <w:numId w:val="2"/>
        </w:numPr>
        <w:rPr>
          <w:rFonts w:ascii="Calibri" w:eastAsia="Calibri" w:hAnsi="Calibri" w:cs="Calibri"/>
          <w:sz w:val="20"/>
          <w:szCs w:val="20"/>
        </w:rPr>
      </w:pPr>
      <w:r>
        <w:rPr>
          <w:rFonts w:ascii="Trebuchet MS" w:hAnsi="Trebuchet MS"/>
          <w:sz w:val="20"/>
        </w:rPr>
        <w:t>El botulismo es una afección médica que requiere notificación inmediata en [Insertar Estado] y los casos sospechosos deben notificarse rápidamente al SDPH.</w:t>
      </w:r>
    </w:p>
    <w:p w:rsidR="00BB084F" w:rsidRDefault="00FB7C06">
      <w:pPr>
        <w:numPr>
          <w:ilvl w:val="0"/>
          <w:numId w:val="2"/>
        </w:numPr>
        <w:rPr>
          <w:rFonts w:ascii="Trebuchet MS" w:eastAsia="Trebuchet MS" w:hAnsi="Trebuchet MS" w:cs="Trebuchet MS"/>
          <w:sz w:val="20"/>
          <w:szCs w:val="20"/>
        </w:rPr>
      </w:pPr>
      <w:r>
        <w:rPr>
          <w:rFonts w:ascii="Trebuchet MS" w:hAnsi="Trebuchet MS"/>
          <w:sz w:val="20"/>
        </w:rPr>
        <w:t>Hace falta consultar con el SDPH y los CDC antes de que la antitoxina botulínica sea entregada para su administración en pacientes y antes de que se analicen muestras humanas o alimenticias.</w:t>
      </w:r>
    </w:p>
    <w:p w:rsidR="00BB084F" w:rsidRDefault="00BB084F">
      <w:pPr>
        <w:ind w:left="720"/>
        <w:rPr>
          <w:rFonts w:ascii="Trebuchet MS" w:eastAsia="Trebuchet MS" w:hAnsi="Trebuchet MS" w:cs="Trebuchet MS"/>
          <w:sz w:val="20"/>
          <w:szCs w:val="20"/>
        </w:rPr>
      </w:pPr>
    </w:p>
    <w:p w:rsidR="00BB084F" w:rsidRDefault="00FB7C06">
      <w:pPr>
        <w:spacing w:after="200"/>
        <w:rPr>
          <w:rFonts w:ascii="Trebuchet MS" w:eastAsia="Trebuchet MS" w:hAnsi="Trebuchet MS" w:cs="Trebuchet MS"/>
          <w:b/>
          <w:sz w:val="20"/>
          <w:szCs w:val="20"/>
        </w:rPr>
      </w:pPr>
      <w:r>
        <w:rPr>
          <w:rFonts w:ascii="Trebuchet MS" w:hAnsi="Trebuchet MS"/>
          <w:b/>
          <w:sz w:val="20"/>
        </w:rPr>
        <w:t>Más información</w:t>
      </w:r>
    </w:p>
    <w:p w:rsidR="00BB084F" w:rsidRDefault="00FB7C06">
      <w:pPr>
        <w:numPr>
          <w:ilvl w:val="0"/>
          <w:numId w:val="1"/>
        </w:numPr>
        <w:rPr>
          <w:rFonts w:ascii="Trebuchet MS" w:eastAsia="Trebuchet MS" w:hAnsi="Trebuchet MS" w:cs="Trebuchet MS"/>
          <w:sz w:val="20"/>
          <w:szCs w:val="20"/>
        </w:rPr>
      </w:pPr>
      <w:r>
        <w:rPr>
          <w:rFonts w:ascii="Trebuchet MS" w:hAnsi="Trebuchet MS"/>
          <w:sz w:val="20"/>
        </w:rPr>
        <w:t xml:space="preserve">Manual del CDPHE sobre enfermedades transmisibles </w:t>
      </w:r>
      <w:hyperlink r:id="rId5">
        <w:r>
          <w:rPr>
            <w:rFonts w:ascii="Trebuchet MS" w:hAnsi="Trebuchet MS"/>
            <w:color w:val="1155CC"/>
            <w:sz w:val="20"/>
            <w:u w:val="single"/>
          </w:rPr>
          <w:t xml:space="preserve"> </w:t>
        </w:r>
      </w:hyperlink>
      <w:hyperlink r:id="rId6">
        <w:r>
          <w:rPr>
            <w:rFonts w:ascii="Trebuchet MS" w:hAnsi="Trebuchet MS"/>
            <w:color w:val="1155CC"/>
            <w:sz w:val="20"/>
            <w:u w:val="single"/>
          </w:rPr>
          <w:t>https://www.colorado.gov/pacific/cdphe/communicable-disease-manual</w:t>
        </w:r>
      </w:hyperlink>
    </w:p>
    <w:p w:rsidR="00BB084F" w:rsidRDefault="00FB7C06">
      <w:pPr>
        <w:numPr>
          <w:ilvl w:val="0"/>
          <w:numId w:val="1"/>
        </w:numPr>
        <w:rPr>
          <w:rFonts w:ascii="Trebuchet MS" w:eastAsia="Trebuchet MS" w:hAnsi="Trebuchet MS" w:cs="Trebuchet MS"/>
          <w:sz w:val="20"/>
          <w:szCs w:val="20"/>
        </w:rPr>
      </w:pPr>
      <w:r>
        <w:rPr>
          <w:rFonts w:ascii="Trebuchet MS" w:hAnsi="Trebuchet MS"/>
          <w:sz w:val="20"/>
        </w:rPr>
        <w:t xml:space="preserve">Sitio web de los CDC sobre el botulismo: </w:t>
      </w:r>
      <w:hyperlink r:id="rId7">
        <w:r>
          <w:rPr>
            <w:rFonts w:ascii="Trebuchet MS" w:hAnsi="Trebuchet MS"/>
            <w:color w:val="1155CC"/>
            <w:sz w:val="20"/>
            <w:u w:val="single"/>
          </w:rPr>
          <w:t xml:space="preserve"> </w:t>
        </w:r>
      </w:hyperlink>
      <w:hyperlink r:id="rId8">
        <w:r>
          <w:rPr>
            <w:rFonts w:ascii="Trebuchet MS" w:hAnsi="Trebuchet MS"/>
            <w:color w:val="1155CC"/>
            <w:sz w:val="20"/>
            <w:u w:val="single"/>
          </w:rPr>
          <w:t>https://www.cdc.gov/botulism/</w:t>
        </w:r>
      </w:hyperlink>
    </w:p>
    <w:p w:rsidR="00BB084F" w:rsidRDefault="00FB7C06">
      <w:pPr>
        <w:numPr>
          <w:ilvl w:val="0"/>
          <w:numId w:val="1"/>
        </w:numPr>
        <w:spacing w:after="200"/>
        <w:rPr>
          <w:rFonts w:ascii="Trebuchet MS" w:eastAsia="Trebuchet MS" w:hAnsi="Trebuchet MS" w:cs="Trebuchet MS"/>
          <w:sz w:val="20"/>
          <w:szCs w:val="20"/>
        </w:rPr>
      </w:pPr>
      <w:r>
        <w:rPr>
          <w:rFonts w:ascii="Trebuchet MS" w:hAnsi="Trebuchet MS"/>
          <w:sz w:val="20"/>
        </w:rPr>
        <w:t>Departamento de Salud Pública de California sobre el botulismo:</w:t>
      </w:r>
      <w:hyperlink r:id="rId9">
        <w:r>
          <w:rPr>
            <w:rFonts w:ascii="Trebuchet MS" w:hAnsi="Trebuchet MS"/>
            <w:color w:val="1155CC"/>
            <w:sz w:val="20"/>
            <w:u w:val="single"/>
          </w:rPr>
          <w:t xml:space="preserve"> </w:t>
        </w:r>
      </w:hyperlink>
      <w:hyperlink r:id="rId10">
        <w:r>
          <w:rPr>
            <w:rFonts w:ascii="Trebuchet MS" w:hAnsi="Trebuchet MS"/>
            <w:color w:val="1155CC"/>
            <w:sz w:val="20"/>
            <w:u w:val="single"/>
          </w:rPr>
          <w:t>https://www.cdph.ca.gov/Programs/CID/DCDC/Pages/InfantBotulism.aspx</w:t>
        </w:r>
      </w:hyperlink>
      <w:r>
        <w:fldChar w:fldCharType="begin"/>
      </w:r>
      <w:r>
        <w:instrText xml:space="preserve"> HYPERLINK "quot;http://www.cdph.ca.gov/programs/ibtpp/Pages/default.aspx&amp;quot" </w:instrText>
      </w:r>
      <w:r>
        <w:fldChar w:fldCharType="separate"/>
      </w:r>
    </w:p>
    <w:p w:rsidR="00BB084F" w:rsidRDefault="00FB7C06">
      <w:pPr>
        <w:rPr>
          <w:rFonts w:ascii="Trebuchet MS" w:eastAsia="Trebuchet MS" w:hAnsi="Trebuchet MS" w:cs="Trebuchet MS"/>
          <w:b/>
          <w:sz w:val="20"/>
        </w:rPr>
      </w:pPr>
      <w:r>
        <w:fldChar w:fldCharType="end"/>
      </w:r>
      <w:r>
        <w:rPr>
          <w:rFonts w:ascii="Trebuchet MS" w:hAnsi="Trebuchet MS"/>
          <w:sz w:val="20"/>
        </w:rPr>
        <w:t xml:space="preserve"> </w:t>
      </w:r>
    </w:p>
    <w:p w:rsidR="00BB084F" w:rsidRDefault="00FB7C06">
      <w:pPr>
        <w:spacing w:line="360" w:lineRule="auto"/>
        <w:rPr>
          <w:rFonts w:ascii="Trebuchet MS" w:eastAsia="Trebuchet MS" w:hAnsi="Trebuchet MS" w:cs="Trebuchet MS"/>
        </w:rPr>
      </w:pPr>
      <w:r>
        <w:rPr>
          <w:rFonts w:ascii="Trebuchet MS" w:hAnsi="Trebuchet MS"/>
          <w:b/>
          <w:sz w:val="20"/>
        </w:rPr>
        <w:t>Línea de reporte de enfermedades del SDPH</w:t>
      </w:r>
      <w:r>
        <w:rPr>
          <w:rFonts w:ascii="Trebuchet MS" w:hAnsi="Trebuchet MS"/>
          <w:sz w:val="20"/>
        </w:rPr>
        <w:t xml:space="preserve"> </w:t>
      </w:r>
      <w:r>
        <w:rPr>
          <w:rFonts w:ascii="Trebuchet MS" w:hAnsi="Trebuchet MS"/>
          <w:b/>
          <w:sz w:val="20"/>
        </w:rPr>
        <w:t>[Inserte el número de teléfono]</w:t>
      </w:r>
      <w:r>
        <w:rPr>
          <w:rFonts w:ascii="Trebuchet MS" w:hAnsi="Trebuchet MS"/>
          <w:sz w:val="20"/>
        </w:rPr>
        <w:t xml:space="preserve"> o </w:t>
      </w:r>
      <w:r>
        <w:rPr>
          <w:rFonts w:ascii="Trebuchet MS" w:hAnsi="Trebuchet MS"/>
          <w:b/>
          <w:sz w:val="20"/>
        </w:rPr>
        <w:t>[inserte el número de teléfono]</w:t>
      </w:r>
      <w:r>
        <w:rPr>
          <w:rFonts w:ascii="Trebuchet MS" w:hAnsi="Trebuchet MS"/>
          <w:sz w:val="20"/>
        </w:rPr>
        <w:t xml:space="preserve"> (después del horario laboral)</w:t>
      </w:r>
    </w:p>
    <w:p w:rsidR="00BB084F" w:rsidRDefault="00BB084F"/>
    <w:sectPr w:rsidR="00BB08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E18F7"/>
    <w:multiLevelType w:val="multilevel"/>
    <w:tmpl w:val="EC889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09C6861"/>
    <w:multiLevelType w:val="multilevel"/>
    <w:tmpl w:val="3132D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BCD1091"/>
    <w:multiLevelType w:val="multilevel"/>
    <w:tmpl w:val="983CB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947594"/>
    <w:multiLevelType w:val="multilevel"/>
    <w:tmpl w:val="10F6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4F"/>
    <w:rsid w:val="002C297F"/>
    <w:rsid w:val="004B4FBB"/>
    <w:rsid w:val="00BB084F"/>
    <w:rsid w:val="00E94BAD"/>
    <w:rsid w:val="00EB16FE"/>
    <w:rsid w:val="00FB7C06"/>
    <w:rsid w:val="00FD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B67E"/>
  <w15:docId w15:val="{931DF5B7-F4CE-4894-8414-E9D37C67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E94B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botulism/" TargetMode="External"/><Relationship Id="rId3" Type="http://schemas.openxmlformats.org/officeDocument/2006/relationships/settings" Target="settings.xml"/><Relationship Id="rId7" Type="http://schemas.openxmlformats.org/officeDocument/2006/relationships/hyperlink" Target="http://www.cdc.gov/nczved/divisions/dfbmd/diseases/botul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gov/pacific/cdphe/communicable-disease-manual" TargetMode="External"/><Relationship Id="rId11" Type="http://schemas.openxmlformats.org/officeDocument/2006/relationships/fontTable" Target="fontTable.xml"/><Relationship Id="rId5" Type="http://schemas.openxmlformats.org/officeDocument/2006/relationships/hyperlink" Target="http://www.colorado.gov/cs/Satellite/CDPHE-DCEED/CBON/1251607755419" TargetMode="External"/><Relationship Id="rId10" Type="http://schemas.openxmlformats.org/officeDocument/2006/relationships/hyperlink" Target="https://www.cdph.ca.gov/Programs/CID/DCDC/Pages/InfantBotulism.aspx" TargetMode="External"/><Relationship Id="rId4" Type="http://schemas.openxmlformats.org/officeDocument/2006/relationships/webSettings" Target="webSettings.xml"/><Relationship Id="rId9" Type="http://schemas.openxmlformats.org/officeDocument/2006/relationships/hyperlink" Target="http://www.cdph.ca.gov/programs/ibtpp/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1749</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Garcia-Diez, Tomas</cp:lastModifiedBy>
  <cp:revision>5</cp:revision>
  <dcterms:created xsi:type="dcterms:W3CDTF">2022-06-08T19:39:00Z</dcterms:created>
  <dcterms:modified xsi:type="dcterms:W3CDTF">2022-06-13T17:04:00Z</dcterms:modified>
</cp:coreProperties>
</file>